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4F4F"/>
          <w:sz w:val="24"/>
          <w:szCs w:val="24"/>
          <w:bdr w:val="none" w:sz="0" w:space="0" w:color="auto" w:frame="1"/>
          <w:lang w:eastAsia="cs-CZ"/>
        </w:rPr>
      </w:pPr>
      <w:bookmarkStart w:id="0" w:name="_GoBack"/>
      <w:bookmarkEnd w:id="0"/>
      <w:r w:rsidRPr="007B2781">
        <w:rPr>
          <w:rFonts w:ascii="Arial" w:eastAsia="Times New Roman" w:hAnsi="Arial" w:cs="Arial"/>
          <w:b/>
          <w:color w:val="4F4F4F"/>
          <w:sz w:val="24"/>
          <w:szCs w:val="24"/>
          <w:bdr w:val="none" w:sz="0" w:space="0" w:color="auto" w:frame="1"/>
          <w:lang w:eastAsia="cs-CZ"/>
        </w:rPr>
        <w:t>BMW i3 REX  60Ah</w:t>
      </w:r>
    </w:p>
    <w:p w:rsid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</w:pPr>
    </w:p>
    <w:p w:rsid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</w:pPr>
    </w:p>
    <w:p w:rsid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</w:pP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0230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Přídavný rozsah podle EU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0249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Multifunkce pro volant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02G5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BMW i kolo z leh. sl. turbín.design 428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02VB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Indikace tlaku pneumatik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02VC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Sada na opravu pneumatiky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0322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Pohodlný přístup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03AG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Couvací kamera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0423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Rohožky velur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0428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Výstražný trojúhelník a spojovací taška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0430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Vnitřní/vnější zrcátko s aut. stmíváním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0442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Držák nápojů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0473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Loketní opěrka přední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0493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Odkládací paket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0494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Vyhřívání sedadla řidič/spolujezdec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04U7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Rychlonabíjení stejnosměrný proud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04U8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Rychlonabíjení střídavý proud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0508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Parkovací zařízení (PDC)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0521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Dešťový senzor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0534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Automatická klimatizace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0544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Regulace rychlosti s brzdovou funkcí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0548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Kilometrový tachometr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0570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Silnější napájecí zdroj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05AK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LED osvětlovací prvky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05DA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Deaktivace airbagu spolujezdce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05DP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Parkovací zařízení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05DU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Paket parkovací asistent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0609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Navigační systém profesionální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06AC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Inteligentní nouzové volání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06AE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Teleservices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06AP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Remote Services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07GA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Comfort Paket Advanced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08A4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Jazyková verze česky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08AL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Dokumentace k vozidlu česky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08KZ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Interval údržby oleje 24 měsíců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08R9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Chladicí prostředek R1234yf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09AA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Ochrana vnějšího potahu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A020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Akumulátor AGM 20 Ah</w:t>
      </w:r>
    </w:p>
    <w:p w:rsidR="007B2781" w:rsidRPr="007B2781" w:rsidRDefault="007B2781" w:rsidP="007B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POLS</w:t>
      </w:r>
      <w:r w:rsidRPr="007B2781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7B2781">
        <w:rPr>
          <w:rFonts w:ascii="Arial" w:eastAsia="Times New Roman" w:hAnsi="Arial" w:cs="Arial"/>
          <w:color w:val="4F4F4F"/>
          <w:sz w:val="24"/>
          <w:szCs w:val="24"/>
          <w:bdr w:val="none" w:sz="0" w:space="0" w:color="auto" w:frame="1"/>
          <w:lang w:eastAsia="cs-CZ"/>
        </w:rPr>
        <w:t>Látkové čalounění</w:t>
      </w:r>
    </w:p>
    <w:p w:rsidR="00DC5DC2" w:rsidRDefault="007548D5"/>
    <w:sectPr w:rsidR="00DC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1"/>
    <w:rsid w:val="00112F79"/>
    <w:rsid w:val="007548D5"/>
    <w:rsid w:val="007B2781"/>
    <w:rsid w:val="00A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5A89-E79D-44D3-994A-AEA1502B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ir-sonderausstattung-code">
    <w:name w:val="air-sonderausstattung-code"/>
    <w:basedOn w:val="Standardnpsmoodstavce"/>
    <w:rsid w:val="007B2781"/>
  </w:style>
  <w:style w:type="character" w:customStyle="1" w:styleId="air-sonderausstattung-text">
    <w:name w:val="air-sonderausstattung-text"/>
    <w:basedOn w:val="Standardnpsmoodstavce"/>
    <w:rsid w:val="007B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Jáchymová Adéla</dc:creator>
  <cp:keywords/>
  <dc:description/>
  <cp:lastModifiedBy>Jáchymová Adéla</cp:lastModifiedBy>
  <cp:revision>2</cp:revision>
  <dcterms:created xsi:type="dcterms:W3CDTF">2021-05-28T08:59:00Z</dcterms:created>
  <dcterms:modified xsi:type="dcterms:W3CDTF">2021-05-28T08:59:00Z</dcterms:modified>
</cp:coreProperties>
</file>